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FEF" w:rsidRPr="002C1FEF" w:rsidRDefault="002C1FEF" w:rsidP="002C1FEF">
      <w:pPr>
        <w:numPr>
          <w:ilvl w:val="0"/>
          <w:numId w:val="1"/>
        </w:numPr>
        <w:shd w:val="clear" w:color="auto" w:fill="FFFFFF"/>
        <w:spacing w:after="0" w:line="240" w:lineRule="auto"/>
        <w:ind w:left="0"/>
        <w:rPr>
          <w:rFonts w:ascii="Arial" w:eastAsia="Times New Roman" w:hAnsi="Arial" w:cs="Arial"/>
          <w:color w:val="4A4A4A"/>
          <w:sz w:val="25"/>
          <w:szCs w:val="25"/>
          <w:lang w:eastAsia="en-IN"/>
        </w:rPr>
      </w:pPr>
      <w:bookmarkStart w:id="0" w:name="_GoBack"/>
      <w:r w:rsidRPr="002C1FEF">
        <w:rPr>
          <w:rFonts w:ascii="Arial" w:eastAsia="Times New Roman" w:hAnsi="Arial" w:cs="Arial"/>
          <w:caps/>
          <w:color w:val="012C6D"/>
          <w:sz w:val="25"/>
          <w:szCs w:val="25"/>
          <w:lang w:eastAsia="en-IN"/>
        </w:rPr>
        <w:t>Policy On internal shortages</w:t>
      </w:r>
    </w:p>
    <w:p w:rsidR="002C1FEF" w:rsidRDefault="002C1FEF" w:rsidP="002C1FEF">
      <w:pPr>
        <w:shd w:val="clear" w:color="auto" w:fill="FFFFFF"/>
        <w:spacing w:after="0" w:line="240" w:lineRule="auto"/>
        <w:jc w:val="both"/>
      </w:pPr>
    </w:p>
    <w:p w:rsidR="002C1FEF" w:rsidRDefault="002C1FEF" w:rsidP="002C1FEF">
      <w:pPr>
        <w:shd w:val="clear" w:color="auto" w:fill="FFFFFF"/>
        <w:spacing w:after="0" w:line="240" w:lineRule="auto"/>
        <w:jc w:val="both"/>
      </w:pPr>
      <w:r>
        <w:t xml:space="preserve">INTERNAL SHORTAGE POLICY </w:t>
      </w:r>
      <w:r>
        <w:t>PSSBL</w:t>
      </w:r>
      <w:r>
        <w:t xml:space="preserve"> shall have the right to adopt a policy of its choice for </w:t>
      </w:r>
      <w:r>
        <w:t>internal auctions</w:t>
      </w:r>
      <w:r>
        <w:t xml:space="preserve"> arising out of pay in shortage by a client against the purchase by other client </w:t>
      </w:r>
      <w:r>
        <w:t>and charge</w:t>
      </w:r>
      <w:r>
        <w:t xml:space="preserve"> to defaulter seller and compensate the impacted purchaser as per the policy. We communicate to Clients that they should not sell securities purchased on previous trading day before getting delivery of the securities from the exchange because sold stocks if purchased on previous trading day and received short from the exchange it goes to auction and the client’s account is debited on account of auction. In case, the client short sells the securities, and fails to meet his pay in obligation then </w:t>
      </w:r>
      <w:r>
        <w:t>either such</w:t>
      </w:r>
      <w:r>
        <w:t xml:space="preserve"> shares will go for </w:t>
      </w:r>
      <w:r>
        <w:t>self-auction</w:t>
      </w:r>
      <w:r>
        <w:t xml:space="preserve"> (auction by </w:t>
      </w:r>
      <w:r>
        <w:t>PSSBL</w:t>
      </w:r>
      <w:r>
        <w:t xml:space="preserve"> in case of Internal Shortage) or these will be short delivered to the exchange (in case of actual shortage). We have following process to handle actual shortage, internal shortage. Actual Shortage: If client has short delivered any securities against his pay-in – obligation towards </w:t>
      </w:r>
      <w:r>
        <w:t>exchange, which</w:t>
      </w:r>
      <w:r>
        <w:t xml:space="preserve"> has resulted into actual shortage, i.e. there is no buy position of other clients of </w:t>
      </w:r>
      <w:r>
        <w:t>PSSBL</w:t>
      </w:r>
      <w:r>
        <w:t xml:space="preserve"> then pay in obligation of the seller would be in short delivery to the exchange herein after termed as actual shortage. In such case, seller will be debited with the rate as communicated by the exchange on the quantity delivered short to the exchange. Internal Shortage: For any Shortages arising out of netting internally with another client we take auction price given by exchange, if there is no auction price given for that scrip, it will be squared off with the highest price out</w:t>
      </w:r>
      <w:r>
        <w:t xml:space="preserve"> </w:t>
      </w:r>
      <w:r>
        <w:t>of below two parameters:</w:t>
      </w:r>
    </w:p>
    <w:p w:rsidR="002C1FEF" w:rsidRDefault="002C1FEF" w:rsidP="002C1FEF">
      <w:pPr>
        <w:shd w:val="clear" w:color="auto" w:fill="FFFFFF"/>
        <w:spacing w:after="0" w:line="240" w:lineRule="auto"/>
        <w:jc w:val="both"/>
      </w:pPr>
    </w:p>
    <w:p w:rsidR="002C1FEF" w:rsidRDefault="002C1FEF" w:rsidP="002C1FEF">
      <w:pPr>
        <w:shd w:val="clear" w:color="auto" w:fill="FFFFFF"/>
        <w:spacing w:after="0" w:line="240" w:lineRule="auto"/>
        <w:jc w:val="both"/>
      </w:pPr>
      <w:r>
        <w:t xml:space="preserve"> </w:t>
      </w:r>
      <w:r>
        <w:sym w:font="Symbol" w:char="F0B7"/>
      </w:r>
      <w:r>
        <w:t xml:space="preserve"> Highest price attained from Trade Day to Pay-in Day</w:t>
      </w:r>
    </w:p>
    <w:p w:rsidR="002C1FEF" w:rsidRDefault="002C1FEF" w:rsidP="002C1FEF">
      <w:pPr>
        <w:shd w:val="clear" w:color="auto" w:fill="FFFFFF"/>
        <w:spacing w:after="0" w:line="240" w:lineRule="auto"/>
        <w:jc w:val="both"/>
        <w:rPr>
          <w:rFonts w:ascii="Arial" w:eastAsia="Times New Roman" w:hAnsi="Arial" w:cs="Arial"/>
          <w:caps/>
          <w:color w:val="012C6D"/>
          <w:sz w:val="25"/>
          <w:szCs w:val="25"/>
          <w:lang w:eastAsia="en-IN"/>
        </w:rPr>
      </w:pPr>
      <w:r>
        <w:t xml:space="preserve"> </w:t>
      </w:r>
      <w:r>
        <w:sym w:font="Symbol" w:char="F0B7"/>
      </w:r>
      <w:r>
        <w:t xml:space="preserve"> Closing price as on a day before </w:t>
      </w:r>
      <w:r>
        <w:t>Pay in</w:t>
      </w:r>
      <w:r>
        <w:t xml:space="preserve"> day +10%</w:t>
      </w:r>
    </w:p>
    <w:p w:rsidR="002C1FEF" w:rsidRPr="002C1FEF" w:rsidRDefault="002C1FEF" w:rsidP="002C1FEF">
      <w:pPr>
        <w:numPr>
          <w:ilvl w:val="0"/>
          <w:numId w:val="1"/>
        </w:numPr>
        <w:shd w:val="clear" w:color="auto" w:fill="FFFFFF"/>
        <w:spacing w:before="100" w:beforeAutospacing="1" w:after="100" w:afterAutospacing="1" w:line="240" w:lineRule="auto"/>
        <w:ind w:left="0"/>
        <w:rPr>
          <w:rFonts w:ascii="Arial" w:eastAsia="Times New Roman" w:hAnsi="Arial" w:cs="Arial"/>
          <w:color w:val="4A4A4A"/>
          <w:sz w:val="25"/>
          <w:szCs w:val="25"/>
          <w:lang w:eastAsia="en-IN"/>
        </w:rPr>
      </w:pPr>
      <w:r w:rsidRPr="002C1FEF">
        <w:rPr>
          <w:rFonts w:ascii="Arial" w:eastAsia="Times New Roman" w:hAnsi="Arial" w:cs="Arial"/>
          <w:caps/>
          <w:color w:val="012C6D"/>
          <w:sz w:val="25"/>
          <w:szCs w:val="25"/>
          <w:lang w:eastAsia="en-IN"/>
        </w:rPr>
        <w:t>Policy of Grading of exposure to clients</w:t>
      </w:r>
    </w:p>
    <w:p w:rsidR="002C1FEF" w:rsidRPr="002C1FEF" w:rsidRDefault="002C1FEF" w:rsidP="002C1FEF">
      <w:pPr>
        <w:shd w:val="clear" w:color="auto" w:fill="FFFFFF"/>
        <w:spacing w:before="100" w:beforeAutospacing="1" w:after="100" w:afterAutospacing="1" w:line="240" w:lineRule="auto"/>
        <w:jc w:val="both"/>
        <w:rPr>
          <w:rFonts w:ascii="Arial" w:eastAsia="Times New Roman" w:hAnsi="Arial" w:cs="Arial"/>
          <w:color w:val="4A4A4A"/>
          <w:sz w:val="25"/>
          <w:szCs w:val="25"/>
          <w:lang w:eastAsia="en-IN"/>
        </w:rPr>
      </w:pPr>
      <w:r>
        <w:t xml:space="preserve">POLICY ON GRANTING OF EXPOSURES TO CLIENTS Setting up Client's Exposure Limits </w:t>
      </w:r>
      <w:r>
        <w:t>PSSBL</w:t>
      </w:r>
      <w:r>
        <w:t xml:space="preserve"> may have its own policy to allow differential purchase limits and sell limits varying from client to client, depending upon credit worthiness, integrity and past trading record of each client and volatility in the market, which may vary from time to time. No fresh exposures will be allowed to client, in case there is Ledger Debit balance for more than Five Trading Days. </w:t>
      </w:r>
      <w:r>
        <w:t>PSSBL</w:t>
      </w:r>
      <w:r>
        <w:t xml:space="preserve"> may provide an exposure limit for intraday and delivery to a client which would be a multiple of the clear ledger balance in the account of the client along with collateral values after appropriate haircut. The value of multiple and haircut shall be decided as per Market volatility, quality of collaterals, credit worthiness, integrity and past trading record of each client based on the risk categorization which may vary from client to client and from time to time. </w:t>
      </w:r>
      <w:r>
        <w:t>PSSBL</w:t>
      </w:r>
      <w:r>
        <w:t xml:space="preserve"> may provide a sell limit to the client equivalent to the value of securities held by the client in his POA enabled Demat account or DDPI enabled Demat account with our DP and shares pledged to our account. </w:t>
      </w:r>
      <w:r>
        <w:t>PSSBL</w:t>
      </w:r>
      <w:r>
        <w:t xml:space="preserve"> may provide Exposure for Futures and Options based on availability of Initial Margin (Span + MTM) in the form of clear ledger balance. Considering collaterals after appropriate haircut is the sole discretion of </w:t>
      </w:r>
      <w:r>
        <w:t>PSSBL</w:t>
      </w:r>
      <w:r>
        <w:t xml:space="preserve">. </w:t>
      </w:r>
      <w:r>
        <w:t>However,</w:t>
      </w:r>
      <w:r>
        <w:t xml:space="preserve"> the buying of Options in Derivatives segment may be allowed on the premium value against the clear ledger balance available in Client's account. Conditions under which a client may not be allowed to take further position or the broker may close the existing position of a client: • No fresh exposures will be allowed to client, in case there is Ledger Debit balance for more than Five Trading Days. • Where the client is not having adequate margins as per conditions defined in Risk Management Policy. • Where the client is not able to meet his pay in obligation in cash by the schedule time of pay in, irrespective of the value of collaterals available with </w:t>
      </w:r>
      <w:r>
        <w:t>PSSBL</w:t>
      </w:r>
      <w:r>
        <w:t xml:space="preserve">. Clear proceeds of the cheque deposited by the client to meet the pay in obligations has not yet been realized by </w:t>
      </w:r>
      <w:r>
        <w:t>PSSBL</w:t>
      </w:r>
      <w:r>
        <w:t xml:space="preserve"> in its Banks. • Client is trading in "illiquid" securities, ASM, GSM, </w:t>
      </w:r>
      <w:r>
        <w:t>concentrated</w:t>
      </w:r>
      <w:r>
        <w:t xml:space="preserve"> trades, and any other trading pattern by the client which does not appear normal in nature. The volumes in the client account exceed internal cut off limit fixed. • Where the client's position is close to client wise permissible "open" positions. Far off illiquid Contracts, All Futures and Option contracts, which are illiquid. No fresh positions will be allowed for shares which </w:t>
      </w:r>
      <w:r>
        <w:lastRenderedPageBreak/>
        <w:t xml:space="preserve">have reached market wide limit or under Ban Period. • All Futures </w:t>
      </w:r>
      <w:r>
        <w:t>and</w:t>
      </w:r>
      <w:r>
        <w:t xml:space="preserve"> Options Positions nearing to expiry, ending up with physical delivery, where the client had not deposited the shares in case of short position or full amount of the delivery obligations two days before the expiry, the client has to be close such positions 2 days before the expiry, failing which </w:t>
      </w:r>
      <w:r>
        <w:t>PSSBL</w:t>
      </w:r>
      <w:r>
        <w:t xml:space="preserve"> reserves the right to square off the positions at its discretion but not under obligation. No fresh positions may be allowed 2 days before expiry, in such cases. • When the Client is not able to </w:t>
      </w:r>
      <w:r>
        <w:t>fulfil</w:t>
      </w:r>
      <w:r>
        <w:t xml:space="preserve"> the Margin obligation including the MTM at a given point of time. • In case of intraday trades, the Clients may not be able to place intraday orders after a cut off time fixed by us. • As it is the obligation of the client to monitor the positions, the positions may be closed as and when the client breaches the MTM or the Market turns highly volatile or when the client is not responding to Margin Calls. The above are only illustrative. It may change as per the market condition, client Risk Apatite which may differ from client to client. Review Policy This policy may be reviewed as and when there are any changes introduced by any statutory authority or as and when it is found necessary to change the policy due to business needs. The policy may be reviewed by the Director/Compliance Officer and place the changes in policy before the Board at the</w:t>
      </w:r>
      <w:r>
        <w:t xml:space="preserve"> </w:t>
      </w:r>
      <w:r>
        <w:t>meeting.</w:t>
      </w:r>
    </w:p>
    <w:p w:rsidR="002C1FEF" w:rsidRPr="002C1FEF" w:rsidRDefault="002C1FEF" w:rsidP="002C1FEF">
      <w:pPr>
        <w:numPr>
          <w:ilvl w:val="0"/>
          <w:numId w:val="1"/>
        </w:numPr>
        <w:shd w:val="clear" w:color="auto" w:fill="FFFFFF"/>
        <w:spacing w:before="100" w:beforeAutospacing="1" w:after="100" w:afterAutospacing="1" w:line="240" w:lineRule="auto"/>
        <w:ind w:left="0"/>
        <w:rPr>
          <w:rFonts w:ascii="Arial" w:eastAsia="Times New Roman" w:hAnsi="Arial" w:cs="Arial"/>
          <w:color w:val="4A4A4A"/>
          <w:sz w:val="25"/>
          <w:szCs w:val="25"/>
          <w:lang w:eastAsia="en-IN"/>
        </w:rPr>
      </w:pPr>
      <w:r w:rsidRPr="002C1FEF">
        <w:rPr>
          <w:rFonts w:ascii="Arial" w:eastAsia="Times New Roman" w:hAnsi="Arial" w:cs="Arial"/>
          <w:caps/>
          <w:color w:val="012C6D"/>
          <w:sz w:val="25"/>
          <w:szCs w:val="25"/>
          <w:lang w:eastAsia="en-IN"/>
        </w:rPr>
        <w:t>Internal policy on applicability of nism series vii-sorm certification</w:t>
      </w:r>
    </w:p>
    <w:p w:rsidR="0035591D" w:rsidRDefault="002C1FEF" w:rsidP="002C1FEF">
      <w:pPr>
        <w:shd w:val="clear" w:color="auto" w:fill="FFFFFF"/>
        <w:spacing w:before="100" w:beforeAutospacing="1" w:after="100" w:afterAutospacing="1" w:line="240" w:lineRule="auto"/>
        <w:jc w:val="both"/>
      </w:pPr>
      <w:r>
        <w:t xml:space="preserve">Policy w.r.t NISM Series VII-Securities Operation &amp; Risk Management (SORM)} Brief SEBI issued Notification no. LAD-NRO/GN/2010-11/21/29390 dated December 10, 2010 according to which, following categories of associated persons associated with a registered stock broker/trading member/clearing member in any recognized stock exchanges, who are involved in, or deal with any of the following: a. Assets or Funds of investors or clients b. Redressal of investor grievances c. Internal control or risk management d. Activities having a bearing on operational risk shall obtain the valid certification of NISM Series VII - Securities Operation and Risk Management (SORM) within two years from the date of such notification. Simultaneously, whenever the company employs any associated person specified as mentioned above, the said associated person shall obtain valid certification of NISM Series VII – Securities Operation and Risk Management (SORM) within one year from the date of his / her employment. Definition - Associated Person “Associated Person” means a principal or employee of an intermediary or an agent or distributor or other natural person engaged in the securities business and includes an employee of a foreign institutional investor or a foreign venture capital investor working in India. Exemption Associated persons handling the basic clerical / elementary functions in the aforesaid specified areas shall be exempted from obtaining the certification of NISM Series VII – Securities Operation and Risk Management (SORM). </w:t>
      </w:r>
    </w:p>
    <w:p w:rsidR="0035591D" w:rsidRDefault="002C1FEF" w:rsidP="002C1FEF">
      <w:pPr>
        <w:shd w:val="clear" w:color="auto" w:fill="FFFFFF"/>
        <w:spacing w:before="100" w:beforeAutospacing="1" w:after="100" w:afterAutospacing="1" w:line="240" w:lineRule="auto"/>
        <w:jc w:val="both"/>
      </w:pPr>
      <w:r>
        <w:t xml:space="preserve">For this purpose, the company considers following activities as basic elementary level / clerical level. </w:t>
      </w:r>
    </w:p>
    <w:tbl>
      <w:tblPr>
        <w:tblW w:w="10395"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5"/>
        <w:gridCol w:w="2632"/>
        <w:gridCol w:w="3023"/>
        <w:gridCol w:w="3855"/>
      </w:tblGrid>
      <w:tr w:rsidR="0035591D" w:rsidTr="0035591D">
        <w:tblPrEx>
          <w:tblCellMar>
            <w:top w:w="0" w:type="dxa"/>
            <w:bottom w:w="0" w:type="dxa"/>
          </w:tblCellMar>
        </w:tblPrEx>
        <w:trPr>
          <w:trHeight w:val="630"/>
        </w:trPr>
        <w:tc>
          <w:tcPr>
            <w:tcW w:w="885" w:type="dxa"/>
          </w:tcPr>
          <w:p w:rsidR="0035591D" w:rsidRDefault="0035591D" w:rsidP="002C1FEF">
            <w:pPr>
              <w:spacing w:before="100" w:beforeAutospacing="1" w:after="100" w:afterAutospacing="1" w:line="240" w:lineRule="auto"/>
              <w:jc w:val="both"/>
            </w:pPr>
            <w:r>
              <w:t>S.NO</w:t>
            </w:r>
          </w:p>
        </w:tc>
        <w:tc>
          <w:tcPr>
            <w:tcW w:w="2632" w:type="dxa"/>
          </w:tcPr>
          <w:p w:rsidR="0035591D" w:rsidRDefault="0035591D" w:rsidP="002C1FEF">
            <w:pPr>
              <w:spacing w:before="100" w:beforeAutospacing="1" w:after="100" w:afterAutospacing="1" w:line="240" w:lineRule="auto"/>
              <w:jc w:val="both"/>
            </w:pPr>
            <w:r>
              <w:t>Internal Control or Risk Management.</w:t>
            </w:r>
          </w:p>
        </w:tc>
        <w:tc>
          <w:tcPr>
            <w:tcW w:w="3023" w:type="dxa"/>
          </w:tcPr>
          <w:p w:rsidR="0035591D" w:rsidRDefault="0035591D" w:rsidP="002C1FEF">
            <w:pPr>
              <w:spacing w:before="100" w:beforeAutospacing="1" w:after="100" w:afterAutospacing="1" w:line="240" w:lineRule="auto"/>
              <w:jc w:val="both"/>
            </w:pPr>
            <w:r>
              <w:t>Redressal of Investor Grievance</w:t>
            </w:r>
            <w:r>
              <w:t>s</w:t>
            </w:r>
          </w:p>
        </w:tc>
        <w:tc>
          <w:tcPr>
            <w:tcW w:w="3855" w:type="dxa"/>
          </w:tcPr>
          <w:p w:rsidR="0035591D" w:rsidRDefault="0035591D" w:rsidP="002C1FEF">
            <w:pPr>
              <w:spacing w:before="100" w:beforeAutospacing="1" w:after="100" w:afterAutospacing="1" w:line="240" w:lineRule="auto"/>
              <w:jc w:val="both"/>
            </w:pPr>
            <w:r>
              <w:t>Activities having a bearing operational risk and dealing with assets of funds of investors of client</w:t>
            </w:r>
            <w:r>
              <w:t>s</w:t>
            </w:r>
          </w:p>
        </w:tc>
      </w:tr>
      <w:tr w:rsidR="0035591D" w:rsidTr="0035591D">
        <w:tblPrEx>
          <w:tblCellMar>
            <w:top w:w="0" w:type="dxa"/>
            <w:bottom w:w="0" w:type="dxa"/>
          </w:tblCellMar>
        </w:tblPrEx>
        <w:trPr>
          <w:trHeight w:val="630"/>
        </w:trPr>
        <w:tc>
          <w:tcPr>
            <w:tcW w:w="885" w:type="dxa"/>
          </w:tcPr>
          <w:p w:rsidR="0035591D" w:rsidRDefault="0035591D" w:rsidP="002C1FEF">
            <w:pPr>
              <w:spacing w:before="100" w:beforeAutospacing="1" w:after="100" w:afterAutospacing="1" w:line="240" w:lineRule="auto"/>
              <w:jc w:val="both"/>
            </w:pPr>
            <w:r>
              <w:t>1</w:t>
            </w:r>
          </w:p>
        </w:tc>
        <w:tc>
          <w:tcPr>
            <w:tcW w:w="2632" w:type="dxa"/>
          </w:tcPr>
          <w:p w:rsidR="0035591D" w:rsidRDefault="0035591D" w:rsidP="002C1FEF">
            <w:pPr>
              <w:spacing w:before="100" w:beforeAutospacing="1" w:after="100" w:afterAutospacing="1" w:line="240" w:lineRule="auto"/>
              <w:jc w:val="both"/>
            </w:pPr>
            <w:r>
              <w:t>Inwarding or collateral’s /Cheques</w:t>
            </w:r>
          </w:p>
        </w:tc>
        <w:tc>
          <w:tcPr>
            <w:tcW w:w="3023" w:type="dxa"/>
          </w:tcPr>
          <w:p w:rsidR="0035591D" w:rsidRDefault="0035591D" w:rsidP="002C1FEF">
            <w:pPr>
              <w:spacing w:before="100" w:beforeAutospacing="1" w:after="100" w:afterAutospacing="1" w:line="240" w:lineRule="auto"/>
              <w:jc w:val="both"/>
            </w:pPr>
            <w:r>
              <w:t>i</w:t>
            </w:r>
            <w:r>
              <w:t>nwarding of complaints</w:t>
            </w:r>
          </w:p>
        </w:tc>
        <w:tc>
          <w:tcPr>
            <w:tcW w:w="3855" w:type="dxa"/>
          </w:tcPr>
          <w:p w:rsidR="0035591D" w:rsidRDefault="0035591D" w:rsidP="002C1FEF">
            <w:pPr>
              <w:spacing w:before="100" w:beforeAutospacing="1" w:after="100" w:afterAutospacing="1" w:line="240" w:lineRule="auto"/>
              <w:jc w:val="both"/>
            </w:pPr>
            <w:r>
              <w:t>Person performing maker entries</w:t>
            </w:r>
          </w:p>
        </w:tc>
      </w:tr>
      <w:tr w:rsidR="0035591D" w:rsidTr="0035591D">
        <w:tblPrEx>
          <w:tblCellMar>
            <w:top w:w="0" w:type="dxa"/>
            <w:bottom w:w="0" w:type="dxa"/>
          </w:tblCellMar>
        </w:tblPrEx>
        <w:trPr>
          <w:trHeight w:val="630"/>
        </w:trPr>
        <w:tc>
          <w:tcPr>
            <w:tcW w:w="885" w:type="dxa"/>
          </w:tcPr>
          <w:p w:rsidR="0035591D" w:rsidRDefault="0035591D" w:rsidP="002C1FEF">
            <w:pPr>
              <w:spacing w:before="100" w:beforeAutospacing="1" w:after="100" w:afterAutospacing="1" w:line="240" w:lineRule="auto"/>
              <w:jc w:val="both"/>
            </w:pPr>
            <w:r>
              <w:t>2</w:t>
            </w:r>
          </w:p>
        </w:tc>
        <w:tc>
          <w:tcPr>
            <w:tcW w:w="2632" w:type="dxa"/>
          </w:tcPr>
          <w:p w:rsidR="0035591D" w:rsidRDefault="0035591D" w:rsidP="002C1FEF">
            <w:pPr>
              <w:spacing w:before="100" w:beforeAutospacing="1" w:after="100" w:afterAutospacing="1" w:line="240" w:lineRule="auto"/>
              <w:jc w:val="both"/>
            </w:pPr>
            <w:r>
              <w:t>Person performing market entries</w:t>
            </w:r>
          </w:p>
        </w:tc>
        <w:tc>
          <w:tcPr>
            <w:tcW w:w="3023" w:type="dxa"/>
          </w:tcPr>
          <w:p w:rsidR="0035591D" w:rsidRDefault="0035591D" w:rsidP="002C1FEF">
            <w:pPr>
              <w:spacing w:before="100" w:beforeAutospacing="1" w:after="100" w:afterAutospacing="1" w:line="240" w:lineRule="auto"/>
              <w:jc w:val="both"/>
            </w:pPr>
            <w:r>
              <w:t>Seeking documents from clients</w:t>
            </w:r>
          </w:p>
        </w:tc>
        <w:tc>
          <w:tcPr>
            <w:tcW w:w="3855" w:type="dxa"/>
          </w:tcPr>
          <w:p w:rsidR="0035591D" w:rsidRDefault="0035591D" w:rsidP="002C1FEF">
            <w:pPr>
              <w:spacing w:before="100" w:beforeAutospacing="1" w:after="100" w:afterAutospacing="1" w:line="240" w:lineRule="auto"/>
              <w:jc w:val="both"/>
            </w:pPr>
            <w:r>
              <w:t>Maker entry in the database</w:t>
            </w:r>
          </w:p>
        </w:tc>
      </w:tr>
      <w:tr w:rsidR="0035591D" w:rsidTr="0035591D">
        <w:tblPrEx>
          <w:tblCellMar>
            <w:top w:w="0" w:type="dxa"/>
            <w:bottom w:w="0" w:type="dxa"/>
          </w:tblCellMar>
        </w:tblPrEx>
        <w:trPr>
          <w:trHeight w:val="630"/>
        </w:trPr>
        <w:tc>
          <w:tcPr>
            <w:tcW w:w="885" w:type="dxa"/>
          </w:tcPr>
          <w:p w:rsidR="0035591D" w:rsidRDefault="0035591D" w:rsidP="002C1FEF">
            <w:pPr>
              <w:spacing w:before="100" w:beforeAutospacing="1" w:after="100" w:afterAutospacing="1" w:line="240" w:lineRule="auto"/>
              <w:jc w:val="both"/>
            </w:pPr>
            <w:r>
              <w:t>3</w:t>
            </w:r>
          </w:p>
        </w:tc>
        <w:tc>
          <w:tcPr>
            <w:tcW w:w="2632" w:type="dxa"/>
          </w:tcPr>
          <w:p w:rsidR="0035591D" w:rsidRDefault="0035591D" w:rsidP="002C1FEF">
            <w:pPr>
              <w:spacing w:before="100" w:beforeAutospacing="1" w:after="100" w:afterAutospacing="1" w:line="240" w:lineRule="auto"/>
              <w:jc w:val="both"/>
            </w:pPr>
            <w:r>
              <w:t>Maker entry in the database</w:t>
            </w:r>
          </w:p>
        </w:tc>
        <w:tc>
          <w:tcPr>
            <w:tcW w:w="3023" w:type="dxa"/>
          </w:tcPr>
          <w:p w:rsidR="0035591D" w:rsidRDefault="0035591D" w:rsidP="002C1FEF">
            <w:pPr>
              <w:spacing w:before="100" w:beforeAutospacing="1" w:after="100" w:afterAutospacing="1" w:line="240" w:lineRule="auto"/>
              <w:jc w:val="both"/>
            </w:pPr>
            <w:r>
              <w:t>Person performing maker entries</w:t>
            </w:r>
          </w:p>
        </w:tc>
        <w:tc>
          <w:tcPr>
            <w:tcW w:w="3855" w:type="dxa"/>
          </w:tcPr>
          <w:p w:rsidR="0035591D" w:rsidRDefault="0035591D" w:rsidP="002C1FEF">
            <w:pPr>
              <w:spacing w:before="100" w:beforeAutospacing="1" w:after="100" w:afterAutospacing="1" w:line="240" w:lineRule="auto"/>
              <w:jc w:val="both"/>
            </w:pPr>
            <w:r>
              <w:t>Preparing of MIS</w:t>
            </w:r>
          </w:p>
        </w:tc>
      </w:tr>
      <w:tr w:rsidR="0035591D" w:rsidTr="0035591D">
        <w:tblPrEx>
          <w:tblCellMar>
            <w:top w:w="0" w:type="dxa"/>
            <w:bottom w:w="0" w:type="dxa"/>
          </w:tblCellMar>
        </w:tblPrEx>
        <w:trPr>
          <w:trHeight w:val="630"/>
        </w:trPr>
        <w:tc>
          <w:tcPr>
            <w:tcW w:w="885" w:type="dxa"/>
          </w:tcPr>
          <w:p w:rsidR="0035591D" w:rsidRDefault="0035591D" w:rsidP="002C1FEF">
            <w:pPr>
              <w:spacing w:before="100" w:beforeAutospacing="1" w:after="100" w:afterAutospacing="1" w:line="240" w:lineRule="auto"/>
              <w:jc w:val="both"/>
            </w:pPr>
            <w:r>
              <w:t>4</w:t>
            </w:r>
          </w:p>
        </w:tc>
        <w:tc>
          <w:tcPr>
            <w:tcW w:w="2632" w:type="dxa"/>
          </w:tcPr>
          <w:p w:rsidR="0035591D" w:rsidRDefault="0035591D" w:rsidP="002C1FEF">
            <w:pPr>
              <w:spacing w:before="100" w:beforeAutospacing="1" w:after="100" w:afterAutospacing="1" w:line="240" w:lineRule="auto"/>
              <w:jc w:val="both"/>
            </w:pPr>
            <w:r>
              <w:t>Photocopying, printouts, scanning of documents</w:t>
            </w:r>
          </w:p>
        </w:tc>
        <w:tc>
          <w:tcPr>
            <w:tcW w:w="3023" w:type="dxa"/>
          </w:tcPr>
          <w:p w:rsidR="0035591D" w:rsidRDefault="0035591D" w:rsidP="002C1FEF">
            <w:pPr>
              <w:spacing w:before="100" w:beforeAutospacing="1" w:after="100" w:afterAutospacing="1" w:line="240" w:lineRule="auto"/>
              <w:jc w:val="both"/>
            </w:pPr>
            <w:r>
              <w:t>Maker entry in the database</w:t>
            </w:r>
          </w:p>
        </w:tc>
        <w:tc>
          <w:tcPr>
            <w:tcW w:w="3855" w:type="dxa"/>
          </w:tcPr>
          <w:p w:rsidR="0035591D" w:rsidRDefault="0035591D" w:rsidP="002C1FEF">
            <w:pPr>
              <w:spacing w:before="100" w:beforeAutospacing="1" w:after="100" w:afterAutospacing="1" w:line="240" w:lineRule="auto"/>
              <w:jc w:val="both"/>
            </w:pPr>
            <w:r>
              <w:t>Generating of reports, Files</w:t>
            </w:r>
          </w:p>
        </w:tc>
      </w:tr>
      <w:tr w:rsidR="0035591D" w:rsidTr="0035591D">
        <w:tblPrEx>
          <w:tblCellMar>
            <w:top w:w="0" w:type="dxa"/>
            <w:bottom w:w="0" w:type="dxa"/>
          </w:tblCellMar>
        </w:tblPrEx>
        <w:trPr>
          <w:trHeight w:val="630"/>
        </w:trPr>
        <w:tc>
          <w:tcPr>
            <w:tcW w:w="885" w:type="dxa"/>
          </w:tcPr>
          <w:p w:rsidR="0035591D" w:rsidRDefault="0035591D" w:rsidP="002C1FEF">
            <w:pPr>
              <w:spacing w:before="100" w:beforeAutospacing="1" w:after="100" w:afterAutospacing="1" w:line="240" w:lineRule="auto"/>
              <w:jc w:val="both"/>
            </w:pPr>
            <w:r>
              <w:lastRenderedPageBreak/>
              <w:t>5</w:t>
            </w:r>
          </w:p>
        </w:tc>
        <w:tc>
          <w:tcPr>
            <w:tcW w:w="2632" w:type="dxa"/>
          </w:tcPr>
          <w:p w:rsidR="0035591D" w:rsidRDefault="0035591D" w:rsidP="002C1FEF">
            <w:pPr>
              <w:spacing w:before="100" w:beforeAutospacing="1" w:after="100" w:afterAutospacing="1" w:line="240" w:lineRule="auto"/>
              <w:jc w:val="both"/>
            </w:pPr>
            <w:r>
              <w:t>Preparing of MIS</w:t>
            </w:r>
          </w:p>
        </w:tc>
        <w:tc>
          <w:tcPr>
            <w:tcW w:w="3023" w:type="dxa"/>
          </w:tcPr>
          <w:p w:rsidR="0035591D" w:rsidRDefault="0035591D" w:rsidP="002C1FEF">
            <w:pPr>
              <w:spacing w:before="100" w:beforeAutospacing="1" w:after="100" w:afterAutospacing="1" w:line="240" w:lineRule="auto"/>
              <w:jc w:val="both"/>
            </w:pPr>
            <w:r>
              <w:t>Photocopying, printouts, scanning of documents</w:t>
            </w:r>
          </w:p>
        </w:tc>
        <w:tc>
          <w:tcPr>
            <w:tcW w:w="3855" w:type="dxa"/>
          </w:tcPr>
          <w:p w:rsidR="0035591D" w:rsidRDefault="0035591D" w:rsidP="002C1FEF">
            <w:pPr>
              <w:spacing w:before="100" w:beforeAutospacing="1" w:after="100" w:afterAutospacing="1" w:line="240" w:lineRule="auto"/>
              <w:jc w:val="both"/>
            </w:pPr>
            <w:r>
              <w:t>Photocopying, printouts, scanning of documents</w:t>
            </w:r>
          </w:p>
        </w:tc>
      </w:tr>
      <w:tr w:rsidR="0035591D" w:rsidTr="0035591D">
        <w:tblPrEx>
          <w:tblCellMar>
            <w:top w:w="0" w:type="dxa"/>
            <w:bottom w:w="0" w:type="dxa"/>
          </w:tblCellMar>
        </w:tblPrEx>
        <w:trPr>
          <w:trHeight w:val="630"/>
        </w:trPr>
        <w:tc>
          <w:tcPr>
            <w:tcW w:w="885" w:type="dxa"/>
          </w:tcPr>
          <w:p w:rsidR="0035591D" w:rsidRDefault="0035591D" w:rsidP="002C1FEF">
            <w:pPr>
              <w:spacing w:before="100" w:beforeAutospacing="1" w:after="100" w:afterAutospacing="1" w:line="240" w:lineRule="auto"/>
              <w:jc w:val="both"/>
            </w:pPr>
            <w:r>
              <w:t>6</w:t>
            </w:r>
          </w:p>
        </w:tc>
        <w:tc>
          <w:tcPr>
            <w:tcW w:w="2632" w:type="dxa"/>
          </w:tcPr>
          <w:p w:rsidR="0035591D" w:rsidRDefault="0035591D" w:rsidP="002C1FEF">
            <w:pPr>
              <w:spacing w:before="100" w:beforeAutospacing="1" w:after="100" w:afterAutospacing="1" w:line="240" w:lineRule="auto"/>
              <w:jc w:val="both"/>
            </w:pPr>
            <w:r>
              <w:t>Sending of letters / reports to clients, Exchanges, SEBI</w:t>
            </w:r>
          </w:p>
        </w:tc>
        <w:tc>
          <w:tcPr>
            <w:tcW w:w="3023" w:type="dxa"/>
          </w:tcPr>
          <w:p w:rsidR="0035591D" w:rsidRDefault="0035591D" w:rsidP="002C1FEF">
            <w:pPr>
              <w:spacing w:before="100" w:beforeAutospacing="1" w:after="100" w:afterAutospacing="1" w:line="240" w:lineRule="auto"/>
              <w:jc w:val="both"/>
            </w:pPr>
            <w:r>
              <w:t>Preparing of MIS</w:t>
            </w:r>
          </w:p>
        </w:tc>
        <w:tc>
          <w:tcPr>
            <w:tcW w:w="3855" w:type="dxa"/>
          </w:tcPr>
          <w:p w:rsidR="0035591D" w:rsidRDefault="0035591D" w:rsidP="002C1FEF">
            <w:pPr>
              <w:spacing w:before="100" w:beforeAutospacing="1" w:after="100" w:afterAutospacing="1" w:line="240" w:lineRule="auto"/>
              <w:jc w:val="both"/>
            </w:pPr>
            <w:r>
              <w:t>Dispatching documents to clients</w:t>
            </w:r>
          </w:p>
        </w:tc>
      </w:tr>
      <w:tr w:rsidR="0035591D" w:rsidTr="0035591D">
        <w:tblPrEx>
          <w:tblCellMar>
            <w:top w:w="0" w:type="dxa"/>
            <w:bottom w:w="0" w:type="dxa"/>
          </w:tblCellMar>
        </w:tblPrEx>
        <w:trPr>
          <w:trHeight w:val="630"/>
        </w:trPr>
        <w:tc>
          <w:tcPr>
            <w:tcW w:w="885" w:type="dxa"/>
          </w:tcPr>
          <w:p w:rsidR="0035591D" w:rsidRDefault="0035591D" w:rsidP="002C1FEF">
            <w:pPr>
              <w:spacing w:before="100" w:beforeAutospacing="1" w:after="100" w:afterAutospacing="1" w:line="240" w:lineRule="auto"/>
              <w:jc w:val="both"/>
            </w:pPr>
            <w:r>
              <w:t>7</w:t>
            </w:r>
          </w:p>
        </w:tc>
        <w:tc>
          <w:tcPr>
            <w:tcW w:w="2632" w:type="dxa"/>
          </w:tcPr>
          <w:p w:rsidR="0035591D" w:rsidRDefault="0035591D" w:rsidP="002C1FEF">
            <w:pPr>
              <w:spacing w:before="100" w:beforeAutospacing="1" w:after="100" w:afterAutospacing="1" w:line="240" w:lineRule="auto"/>
              <w:jc w:val="both"/>
            </w:pPr>
            <w:r>
              <w:t>Attending Calls, etc.</w:t>
            </w:r>
          </w:p>
        </w:tc>
        <w:tc>
          <w:tcPr>
            <w:tcW w:w="3023" w:type="dxa"/>
          </w:tcPr>
          <w:p w:rsidR="0035591D" w:rsidRDefault="0035591D" w:rsidP="002C1FEF">
            <w:pPr>
              <w:spacing w:before="100" w:beforeAutospacing="1" w:after="100" w:afterAutospacing="1" w:line="240" w:lineRule="auto"/>
              <w:jc w:val="both"/>
            </w:pPr>
            <w:r>
              <w:t>Sending of letters / reports to clients, Exchanges, SEBI updation, data entry, uploading on SCORES</w:t>
            </w:r>
          </w:p>
        </w:tc>
        <w:tc>
          <w:tcPr>
            <w:tcW w:w="3855" w:type="dxa"/>
          </w:tcPr>
          <w:p w:rsidR="0035591D" w:rsidRDefault="0035591D" w:rsidP="002C1FEF">
            <w:pPr>
              <w:spacing w:before="100" w:beforeAutospacing="1" w:after="100" w:afterAutospacing="1" w:line="240" w:lineRule="auto"/>
              <w:jc w:val="both"/>
            </w:pPr>
            <w:r>
              <w:t>Sending of letters / reports to clients, Exchanges, SEBI</w:t>
            </w:r>
          </w:p>
        </w:tc>
      </w:tr>
      <w:tr w:rsidR="0035591D" w:rsidTr="0035591D">
        <w:tblPrEx>
          <w:tblCellMar>
            <w:top w:w="0" w:type="dxa"/>
            <w:bottom w:w="0" w:type="dxa"/>
          </w:tblCellMar>
        </w:tblPrEx>
        <w:trPr>
          <w:trHeight w:val="630"/>
        </w:trPr>
        <w:tc>
          <w:tcPr>
            <w:tcW w:w="885" w:type="dxa"/>
          </w:tcPr>
          <w:p w:rsidR="0035591D" w:rsidRDefault="0035591D" w:rsidP="002C1FEF">
            <w:pPr>
              <w:spacing w:before="100" w:beforeAutospacing="1" w:after="100" w:afterAutospacing="1" w:line="240" w:lineRule="auto"/>
              <w:jc w:val="both"/>
            </w:pPr>
            <w:r>
              <w:t>8</w:t>
            </w:r>
          </w:p>
        </w:tc>
        <w:tc>
          <w:tcPr>
            <w:tcW w:w="2632" w:type="dxa"/>
          </w:tcPr>
          <w:p w:rsidR="0035591D" w:rsidRDefault="0035591D" w:rsidP="002C1FEF">
            <w:pPr>
              <w:spacing w:before="100" w:beforeAutospacing="1" w:after="100" w:afterAutospacing="1" w:line="240" w:lineRule="auto"/>
              <w:jc w:val="both"/>
            </w:pPr>
            <w:r>
              <w:t>-</w:t>
            </w:r>
          </w:p>
        </w:tc>
        <w:tc>
          <w:tcPr>
            <w:tcW w:w="3023" w:type="dxa"/>
          </w:tcPr>
          <w:p w:rsidR="0035591D" w:rsidRDefault="0035591D" w:rsidP="002C1FEF">
            <w:pPr>
              <w:spacing w:before="100" w:beforeAutospacing="1" w:after="100" w:afterAutospacing="1" w:line="240" w:lineRule="auto"/>
              <w:jc w:val="both"/>
            </w:pPr>
            <w:r>
              <w:t>Attending calls, etc.</w:t>
            </w:r>
          </w:p>
        </w:tc>
        <w:tc>
          <w:tcPr>
            <w:tcW w:w="3855" w:type="dxa"/>
          </w:tcPr>
          <w:p w:rsidR="0035591D" w:rsidRDefault="0035591D" w:rsidP="002C1FEF">
            <w:pPr>
              <w:spacing w:before="100" w:beforeAutospacing="1" w:after="100" w:afterAutospacing="1" w:line="240" w:lineRule="auto"/>
              <w:jc w:val="both"/>
            </w:pPr>
            <w:r>
              <w:t>Attending calls, etc.</w:t>
            </w:r>
          </w:p>
        </w:tc>
      </w:tr>
    </w:tbl>
    <w:p w:rsidR="0035591D" w:rsidRDefault="0035591D" w:rsidP="002C1FEF">
      <w:pPr>
        <w:shd w:val="clear" w:color="auto" w:fill="FFFFFF"/>
        <w:spacing w:before="100" w:beforeAutospacing="1" w:after="100" w:afterAutospacing="1" w:line="240" w:lineRule="auto"/>
        <w:jc w:val="both"/>
      </w:pPr>
      <w:r>
        <w:t>However, any of the work (as stated herein above) being performed by such persons, obtaining, NISM</w:t>
      </w:r>
      <w:r>
        <w:t>SORM Certification shall be optional provided that they are supervised by his / her supervisor who shall have to obtain / continue to have NISM – SORM Certification or such other prescribed certification at all times. In case of any query, employees are requested to obtain clarification from the Compliance Officer of the Company</w:t>
      </w:r>
      <w:r>
        <w:t>.</w:t>
      </w:r>
    </w:p>
    <w:p w:rsidR="002C1FEF" w:rsidRPr="00FB3090" w:rsidRDefault="002C1FEF" w:rsidP="002C1FEF">
      <w:pPr>
        <w:numPr>
          <w:ilvl w:val="0"/>
          <w:numId w:val="1"/>
        </w:numPr>
        <w:shd w:val="clear" w:color="auto" w:fill="FFFFFF"/>
        <w:spacing w:before="100" w:beforeAutospacing="1" w:after="100" w:afterAutospacing="1" w:line="240" w:lineRule="auto"/>
        <w:ind w:left="0"/>
        <w:rPr>
          <w:rFonts w:ascii="Arial" w:eastAsia="Times New Roman" w:hAnsi="Arial" w:cs="Arial"/>
          <w:color w:val="4A4A4A"/>
          <w:sz w:val="25"/>
          <w:szCs w:val="25"/>
          <w:lang w:eastAsia="en-IN"/>
        </w:rPr>
      </w:pPr>
      <w:r w:rsidRPr="002C1FEF">
        <w:rPr>
          <w:rFonts w:ascii="Arial" w:eastAsia="Times New Roman" w:hAnsi="Arial" w:cs="Arial"/>
          <w:caps/>
          <w:color w:val="012C6D"/>
          <w:sz w:val="25"/>
          <w:szCs w:val="25"/>
          <w:lang w:eastAsia="en-IN"/>
        </w:rPr>
        <w:t>Client code Modification</w:t>
      </w:r>
    </w:p>
    <w:p w:rsidR="00FB3090" w:rsidRDefault="00FB3090" w:rsidP="00FB3090">
      <w:pPr>
        <w:shd w:val="clear" w:color="auto" w:fill="FFFFFF"/>
        <w:spacing w:before="100" w:beforeAutospacing="1" w:after="100" w:afterAutospacing="1" w:line="240" w:lineRule="auto"/>
        <w:jc w:val="both"/>
      </w:pPr>
      <w:r>
        <w:t>Stock Exchanges provide a facility to modify client code after the trade has been executed to rectify any error or wrong data entry at the time of punching orders. However, such Client Code Modification is subject to certain guidelines issued by SEBI and the Stock Exchanges in this regard. “Error Trades” means the trades which will be modified / to be modified / allowed, to be modified subject to guidelines of the SEBI / Stock Exchanges and this policy. The Exchange has provided the facility of client code modification only with a view to rectify genuine errors. The facility is mainly to provide a system for modification of client codes in case of genuine errors in punching / placing the orders. It is to be used as an exception and not a routine. To prevent misuse of the facility Stock Exchanges levy penalty / fine for all non-institutional client code modifications. This policy is applicable to all Client Code Modifications carried out / to be carried out in any of the client accounts, subject to guidelines issued by the SEBI / Stock Exchanges from time to time, in any segment of any exchange of which the company is a Member. The following client code modifications would be considered as genuine modifications, provided there is no consistent pattern in such modifications: a. Where original client code/name and modified client code/name are similar to each other but such modifications are not repetitive. b. Where original client code and modified client code belong to a family. (Family for this purpose means spouse, dependent parents, dependent children and HUF) However, there may also be a need to resort to client code modification in following situations: a. Punching error / typing error of client codes due to any genuine error or mistake in order entry, while punching the order, by any of dealer. b. Trade entered for wrong client due to any miscommunication from the client/ authorized representative of the client. The facility for Client Code Modification can be used only in case of Error Trade and the Client Code Modification shall be carried out only after obtaining approval of any of the Designated Directors of the Company and in their absence that of Compliance Officer subject to the process as may be prescribed by SEBI / Stock Exchange. However, it needs to be reiterated that in all cases adequate precautions need to be taken while placing/executing</w:t>
      </w:r>
      <w:r>
        <w:t xml:space="preserve"> </w:t>
      </w:r>
      <w:r>
        <w:t>orders so as to minimize the need for resorting to client code modification.</w:t>
      </w:r>
    </w:p>
    <w:p w:rsidR="00FB3090" w:rsidRDefault="00FB3090" w:rsidP="00FB3090">
      <w:pPr>
        <w:shd w:val="clear" w:color="auto" w:fill="FFFFFF"/>
        <w:spacing w:before="100" w:beforeAutospacing="1" w:after="100" w:afterAutospacing="1" w:line="240" w:lineRule="auto"/>
        <w:jc w:val="both"/>
      </w:pPr>
    </w:p>
    <w:p w:rsidR="00FB3090" w:rsidRDefault="00FB3090" w:rsidP="00FB3090">
      <w:pPr>
        <w:shd w:val="clear" w:color="auto" w:fill="FFFFFF"/>
        <w:spacing w:before="100" w:beforeAutospacing="1" w:after="100" w:afterAutospacing="1" w:line="240" w:lineRule="auto"/>
        <w:jc w:val="both"/>
      </w:pPr>
    </w:p>
    <w:p w:rsidR="00FB3090" w:rsidRPr="00FB3090" w:rsidRDefault="00FB3090" w:rsidP="00FB3090">
      <w:pPr>
        <w:shd w:val="clear" w:color="auto" w:fill="FFFFFF"/>
        <w:spacing w:before="100" w:beforeAutospacing="1" w:after="100" w:afterAutospacing="1" w:line="240" w:lineRule="auto"/>
        <w:jc w:val="both"/>
        <w:rPr>
          <w:rFonts w:ascii="Arial" w:eastAsia="Times New Roman" w:hAnsi="Arial" w:cs="Arial"/>
          <w:color w:val="4A4A4A"/>
          <w:sz w:val="25"/>
          <w:szCs w:val="25"/>
          <w:lang w:eastAsia="en-IN"/>
        </w:rPr>
      </w:pPr>
    </w:p>
    <w:p w:rsidR="002C1FEF" w:rsidRDefault="002C1FEF" w:rsidP="002C1FEF">
      <w:pPr>
        <w:numPr>
          <w:ilvl w:val="0"/>
          <w:numId w:val="1"/>
        </w:numPr>
        <w:shd w:val="clear" w:color="auto" w:fill="FFFFFF"/>
        <w:spacing w:before="100" w:beforeAutospacing="1" w:after="100" w:afterAutospacing="1" w:line="240" w:lineRule="auto"/>
        <w:ind w:left="0"/>
        <w:rPr>
          <w:rFonts w:ascii="Arial" w:eastAsia="Times New Roman" w:hAnsi="Arial" w:cs="Arial"/>
          <w:color w:val="4A4A4A"/>
          <w:sz w:val="25"/>
          <w:szCs w:val="25"/>
          <w:lang w:eastAsia="en-IN"/>
        </w:rPr>
      </w:pPr>
      <w:hyperlink r:id="rId5" w:tgtFrame="_blank" w:history="1">
        <w:r w:rsidRPr="002C1FEF">
          <w:rPr>
            <w:rFonts w:ascii="Arial" w:eastAsia="Times New Roman" w:hAnsi="Arial" w:cs="Arial"/>
            <w:caps/>
            <w:color w:val="012C6D"/>
            <w:sz w:val="25"/>
            <w:szCs w:val="25"/>
            <w:lang w:eastAsia="en-IN"/>
          </w:rPr>
          <w:t>Policy on squaring off client positions in case of non payment</w:t>
        </w:r>
      </w:hyperlink>
    </w:p>
    <w:p w:rsidR="00FB3090" w:rsidRPr="002C1FEF" w:rsidRDefault="00FB3090" w:rsidP="00FB3090">
      <w:pPr>
        <w:shd w:val="clear" w:color="auto" w:fill="FFFFFF"/>
        <w:spacing w:before="100" w:beforeAutospacing="1" w:after="100" w:afterAutospacing="1" w:line="240" w:lineRule="auto"/>
        <w:rPr>
          <w:rFonts w:ascii="Arial" w:eastAsia="Times New Roman" w:hAnsi="Arial" w:cs="Arial"/>
          <w:color w:val="4A4A4A"/>
          <w:sz w:val="25"/>
          <w:szCs w:val="25"/>
          <w:lang w:eastAsia="en-IN"/>
        </w:rPr>
      </w:pPr>
      <w:r>
        <w:t xml:space="preserve">Policy on Squaring off client positions in case of </w:t>
      </w:r>
      <w:r>
        <w:t>non-payment</w:t>
      </w:r>
      <w:r>
        <w:t xml:space="preserve"> of funds and margins. The Clients are informed of any increase in margin, or any increase in MTM losses beyond their collaterals through emails or phones or sending sms to the clients registered mobile number. We provide opportunities to the clients to bring in adequate margin to such extent so that our position does not remain uncovered. If payment is not received despite reminders then we square off the positions after giving prior intimation to the clients and the details is communicated by telephone, SMS or email</w:t>
      </w:r>
    </w:p>
    <w:p w:rsidR="002C1FEF" w:rsidRPr="00FB3090" w:rsidRDefault="002C1FEF" w:rsidP="002C1FEF">
      <w:pPr>
        <w:numPr>
          <w:ilvl w:val="0"/>
          <w:numId w:val="1"/>
        </w:numPr>
        <w:shd w:val="clear" w:color="auto" w:fill="FFFFFF"/>
        <w:spacing w:before="100" w:beforeAutospacing="1" w:after="100" w:afterAutospacing="1" w:line="240" w:lineRule="auto"/>
        <w:ind w:left="0"/>
        <w:rPr>
          <w:rFonts w:ascii="Arial" w:eastAsia="Times New Roman" w:hAnsi="Arial" w:cs="Arial"/>
          <w:color w:val="4A4A4A"/>
          <w:sz w:val="25"/>
          <w:szCs w:val="25"/>
          <w:lang w:eastAsia="en-IN"/>
        </w:rPr>
      </w:pPr>
      <w:r w:rsidRPr="002C1FEF">
        <w:rPr>
          <w:rFonts w:ascii="Arial" w:eastAsia="Times New Roman" w:hAnsi="Arial" w:cs="Arial"/>
          <w:caps/>
          <w:color w:val="012C6D"/>
          <w:sz w:val="25"/>
          <w:szCs w:val="25"/>
          <w:lang w:eastAsia="en-IN"/>
        </w:rPr>
        <w:t>Conflict of interest policy</w:t>
      </w:r>
    </w:p>
    <w:p w:rsidR="00FB3090" w:rsidRDefault="00FB3090" w:rsidP="00FB3090">
      <w:pPr>
        <w:shd w:val="clear" w:color="auto" w:fill="FFFFFF"/>
        <w:spacing w:before="100" w:beforeAutospacing="1" w:after="100" w:afterAutospacing="1" w:line="240" w:lineRule="auto"/>
      </w:pPr>
      <w:r>
        <w:t xml:space="preserve">Policy &amp; Internal Procedure for managing conflict of Interest </w:t>
      </w:r>
    </w:p>
    <w:p w:rsidR="00FB3090" w:rsidRDefault="00FB3090" w:rsidP="00FB3090">
      <w:pPr>
        <w:shd w:val="clear" w:color="auto" w:fill="FFFFFF"/>
        <w:spacing w:before="100" w:beforeAutospacing="1" w:after="100" w:afterAutospacing="1" w:line="240" w:lineRule="auto"/>
      </w:pPr>
      <w:r>
        <w:t>1.Background: SEBI has issued guidelines vide their circular no. CIR/MIRSD/5/2013 dated August 27, 2013 on dealing with conflict of interest of Intermediaries, depositories (hereinafter collectively referred to as "such entities") and their associated persons in securities Market. SEBI has issued aforesaid circular in line of the Principle 8 of the International Organization of Securities Commissions (IOSCO) Objectives and Principles of Securities Regulations, to collectively cover such entities and their associated persons, for elimination of their conflict of interest. As per the said circular, the words “Intermediaries” and “Associated Person” shall carry the same meaning as defined in SEBI (Certification of Associated Persons in the Securities Markets) Regulations, 2007. In view of the above, the meaning of “Associated Person” and “Intermediaries” are provided hereunder:</w:t>
      </w:r>
    </w:p>
    <w:p w:rsidR="00FB3090" w:rsidRDefault="00FB3090" w:rsidP="00FB3090">
      <w:pPr>
        <w:shd w:val="clear" w:color="auto" w:fill="FFFFFF"/>
        <w:spacing w:before="100" w:beforeAutospacing="1" w:after="100" w:afterAutospacing="1" w:line="240" w:lineRule="auto"/>
      </w:pPr>
      <w:r>
        <w:t xml:space="preserve"> </w:t>
      </w:r>
      <w:r>
        <w:sym w:font="Symbol" w:char="F0B7"/>
      </w:r>
      <w:r>
        <w:t xml:space="preserve"> “Associated person” means a principal or employee of an intermediary or an agent or distributor or other natural person engaged in the securities business and includes an employee of a foreign institutional investor or a foreign venture capital investor working in India; </w:t>
      </w:r>
    </w:p>
    <w:p w:rsidR="00FB3090" w:rsidRDefault="00FB3090" w:rsidP="00FB3090">
      <w:pPr>
        <w:shd w:val="clear" w:color="auto" w:fill="FFFFFF"/>
        <w:spacing w:before="100" w:beforeAutospacing="1" w:after="100" w:afterAutospacing="1" w:line="240" w:lineRule="auto"/>
      </w:pPr>
      <w:r>
        <w:sym w:font="Symbol" w:char="F0B7"/>
      </w:r>
      <w:r>
        <w:t xml:space="preserve"> “Intermediary” means an entity registered under sections 11 or 12 of the SEBI Act, 1992 and includes any person required to obtain any membership or approval from a stock exchange or a self-regulatory organization; </w:t>
      </w:r>
      <w:r>
        <w:t>therefore,</w:t>
      </w:r>
      <w:r>
        <w:t xml:space="preserve"> in view of the above all employees, agents (sub broker and AP), distributors engaged in securities business will be covered under this policy. 2. Objectives:</w:t>
      </w:r>
    </w:p>
    <w:p w:rsidR="00FB3090" w:rsidRDefault="00FB3090" w:rsidP="00FB3090">
      <w:pPr>
        <w:shd w:val="clear" w:color="auto" w:fill="FFFFFF"/>
        <w:spacing w:before="100" w:beforeAutospacing="1" w:after="100" w:afterAutospacing="1" w:line="240" w:lineRule="auto"/>
      </w:pPr>
      <w:r>
        <w:t xml:space="preserve"> </w:t>
      </w:r>
      <w:r>
        <w:sym w:font="Symbol" w:char="F0B7"/>
      </w:r>
      <w:r>
        <w:t xml:space="preserve"> To identify and avoid or to deal or manage actual or potential conflict of interest of Intermediaries and Associated Person in securities market.</w:t>
      </w:r>
    </w:p>
    <w:bookmarkEnd w:id="0"/>
    <w:p w:rsidR="00FB3090" w:rsidRDefault="00FB3090" w:rsidP="00FB3090">
      <w:pPr>
        <w:shd w:val="clear" w:color="auto" w:fill="FFFFFF"/>
        <w:spacing w:before="100" w:beforeAutospacing="1" w:after="100" w:afterAutospacing="1" w:line="240" w:lineRule="auto"/>
      </w:pPr>
      <w:r>
        <w:t xml:space="preserve"> </w:t>
      </w:r>
      <w:r>
        <w:sym w:font="Symbol" w:char="F0B7"/>
      </w:r>
      <w:r>
        <w:t xml:space="preserve"> To develop an internal code of conduct governing operations and formulate standards of appropriate conduct in performance of entities activities.</w:t>
      </w:r>
    </w:p>
    <w:p w:rsidR="00FB3090" w:rsidRDefault="00FB3090" w:rsidP="00FB3090">
      <w:pPr>
        <w:shd w:val="clear" w:color="auto" w:fill="FFFFFF"/>
        <w:spacing w:before="100" w:beforeAutospacing="1" w:after="100" w:afterAutospacing="1" w:line="240" w:lineRule="auto"/>
      </w:pPr>
      <w:r>
        <w:t xml:space="preserve"> 3. Guiding Principles of the Policy: All employees and Associated Person/s with the Company covered under this Policy shall adhere to following principles and practices to avoid conflict of interest at all points:</w:t>
      </w:r>
    </w:p>
    <w:p w:rsidR="00FB3090" w:rsidRDefault="00FB3090" w:rsidP="00FB3090">
      <w:pPr>
        <w:shd w:val="clear" w:color="auto" w:fill="FFFFFF"/>
        <w:spacing w:before="100" w:beforeAutospacing="1" w:after="100" w:afterAutospacing="1" w:line="240" w:lineRule="auto"/>
      </w:pPr>
      <w:r>
        <w:t xml:space="preserve"> a. To maintain high standards of integrity in the conduct of business at all times.</w:t>
      </w:r>
    </w:p>
    <w:p w:rsidR="00FB3090" w:rsidRDefault="00FB3090" w:rsidP="00FB3090">
      <w:pPr>
        <w:shd w:val="clear" w:color="auto" w:fill="FFFFFF"/>
        <w:spacing w:before="100" w:beforeAutospacing="1" w:after="100" w:afterAutospacing="1" w:line="240" w:lineRule="auto"/>
      </w:pPr>
      <w:r>
        <w:t xml:space="preserve"> b. To ensure to communicate policies, procedures and code to all concerned.</w:t>
      </w:r>
    </w:p>
    <w:p w:rsidR="00FB3090" w:rsidRDefault="00FB3090" w:rsidP="00FB3090">
      <w:pPr>
        <w:shd w:val="clear" w:color="auto" w:fill="FFFFFF"/>
        <w:spacing w:before="100" w:beforeAutospacing="1" w:after="100" w:afterAutospacing="1" w:line="240" w:lineRule="auto"/>
      </w:pPr>
      <w:r>
        <w:t xml:space="preserve"> c. To ensure fair treatment of clients and not to discriminate amongst them;</w:t>
      </w:r>
    </w:p>
    <w:p w:rsidR="00FB3090" w:rsidRDefault="00FB3090" w:rsidP="00FB3090">
      <w:pPr>
        <w:shd w:val="clear" w:color="auto" w:fill="FFFFFF"/>
        <w:spacing w:before="100" w:beforeAutospacing="1" w:after="100" w:afterAutospacing="1" w:line="240" w:lineRule="auto"/>
      </w:pPr>
      <w:r>
        <w:lastRenderedPageBreak/>
        <w:t xml:space="preserve"> d. To ensure that Company’s personal interest does not, at any time conflict with our duty towards our clients and clients’ interest shall always takes primacy in our advice, investment decisions and transactions;</w:t>
      </w:r>
    </w:p>
    <w:p w:rsidR="00FB3090" w:rsidRDefault="00FB3090" w:rsidP="00FB3090">
      <w:pPr>
        <w:shd w:val="clear" w:color="auto" w:fill="FFFFFF"/>
        <w:spacing w:before="100" w:beforeAutospacing="1" w:after="100" w:afterAutospacing="1" w:line="240" w:lineRule="auto"/>
      </w:pPr>
      <w:r>
        <w:t xml:space="preserve"> e. To make appropriate disclosure to the clients of possible source or potential areas of conflict of interest which would impair our ability to render fair, objective and unbiased services; </w:t>
      </w:r>
    </w:p>
    <w:p w:rsidR="00FB3090" w:rsidRDefault="00FB3090" w:rsidP="00FB3090">
      <w:pPr>
        <w:shd w:val="clear" w:color="auto" w:fill="FFFFFF"/>
        <w:spacing w:before="100" w:beforeAutospacing="1" w:after="100" w:afterAutospacing="1" w:line="240" w:lineRule="auto"/>
      </w:pPr>
      <w:r>
        <w:t xml:space="preserve">f. </w:t>
      </w:r>
      <w:r>
        <w:t>Endeavour</w:t>
      </w:r>
      <w:r>
        <w:t xml:space="preserve"> to reduce opportunities for conflicts through prescriptive measures such as through information barriers to block or hinder the flow of information from one department/ unit to another, etc.;</w:t>
      </w:r>
    </w:p>
    <w:p w:rsidR="00FB3090" w:rsidRDefault="00FB3090" w:rsidP="00FB3090">
      <w:pPr>
        <w:shd w:val="clear" w:color="auto" w:fill="FFFFFF"/>
        <w:spacing w:before="100" w:beforeAutospacing="1" w:after="100" w:afterAutospacing="1" w:line="240" w:lineRule="auto"/>
      </w:pPr>
      <w:r>
        <w:t xml:space="preserve"> g. To place appropriate restrictions on transactions in securities while handling a mandate of issuer or client in respect of such security so as to avoid any conflict;</w:t>
      </w:r>
    </w:p>
    <w:p w:rsidR="00FB3090" w:rsidRDefault="00FB3090" w:rsidP="00FB3090">
      <w:pPr>
        <w:shd w:val="clear" w:color="auto" w:fill="FFFFFF"/>
        <w:spacing w:before="100" w:beforeAutospacing="1" w:after="100" w:afterAutospacing="1" w:line="240" w:lineRule="auto"/>
      </w:pPr>
      <w:r>
        <w:t xml:space="preserve"> h. Not to deal in securities while in possession of material non published information; </w:t>
      </w:r>
    </w:p>
    <w:p w:rsidR="00FB3090" w:rsidRDefault="00FB3090" w:rsidP="00FB3090">
      <w:pPr>
        <w:shd w:val="clear" w:color="auto" w:fill="FFFFFF"/>
        <w:spacing w:before="100" w:beforeAutospacing="1" w:after="100" w:afterAutospacing="1" w:line="240" w:lineRule="auto"/>
      </w:pPr>
      <w:proofErr w:type="spellStart"/>
      <w:r>
        <w:t>i</w:t>
      </w:r>
      <w:proofErr w:type="spellEnd"/>
      <w:r>
        <w:t>. Not to communicate the material non published information while dealing in securities on behalf of others;</w:t>
      </w:r>
    </w:p>
    <w:p w:rsidR="00FB3090" w:rsidRDefault="00FB3090" w:rsidP="00FB3090">
      <w:pPr>
        <w:shd w:val="clear" w:color="auto" w:fill="FFFFFF"/>
        <w:spacing w:before="100" w:beforeAutospacing="1" w:after="100" w:afterAutospacing="1" w:line="240" w:lineRule="auto"/>
      </w:pPr>
      <w:r>
        <w:t xml:space="preserve"> j. Not to contribute in manipulating the demand for or supply of securities in the market or to influence prices of securities;</w:t>
      </w:r>
    </w:p>
    <w:p w:rsidR="00FB3090" w:rsidRDefault="00FB3090" w:rsidP="00FB3090">
      <w:pPr>
        <w:shd w:val="clear" w:color="auto" w:fill="FFFFFF"/>
        <w:spacing w:before="100" w:beforeAutospacing="1" w:after="100" w:afterAutospacing="1" w:line="240" w:lineRule="auto"/>
      </w:pPr>
      <w:r>
        <w:t xml:space="preserve"> k. Not to provide incentive structure that encourages sale of products not suiting the risk profile of clients;</w:t>
      </w:r>
    </w:p>
    <w:p w:rsidR="00FB3090" w:rsidRDefault="00FB3090" w:rsidP="00FB3090">
      <w:pPr>
        <w:shd w:val="clear" w:color="auto" w:fill="FFFFFF"/>
        <w:spacing w:before="100" w:beforeAutospacing="1" w:after="100" w:afterAutospacing="1" w:line="240" w:lineRule="auto"/>
      </w:pPr>
      <w:r>
        <w:t xml:space="preserve"> l. Not to share information received from clients or pertaining to them, obtained as a result of our dealings, for our personal interest.</w:t>
      </w:r>
    </w:p>
    <w:p w:rsidR="00FB3090" w:rsidRPr="00FB3090" w:rsidRDefault="00FB3090" w:rsidP="00FB3090">
      <w:pPr>
        <w:shd w:val="clear" w:color="auto" w:fill="FFFFFF"/>
        <w:spacing w:before="100" w:beforeAutospacing="1" w:after="100" w:afterAutospacing="1" w:line="240" w:lineRule="auto"/>
        <w:rPr>
          <w:rFonts w:ascii="Arial" w:eastAsia="Times New Roman" w:hAnsi="Arial" w:cs="Arial"/>
          <w:color w:val="4A4A4A"/>
          <w:sz w:val="25"/>
          <w:szCs w:val="25"/>
          <w:lang w:eastAsia="en-IN"/>
        </w:rPr>
      </w:pPr>
      <w:r>
        <w:t xml:space="preserve"> 4. Effective Mechanism: All are advised to adhere to various principles stated hereinabove to avoid any conflict of interest situation. Further, Board of directors of the Company will </w:t>
      </w:r>
      <w:r>
        <w:t>endeavour</w:t>
      </w:r>
      <w:r>
        <w:t xml:space="preserve"> from time to time to put in place effective system in place for proper implementation of this circular. Board from time to time will also provide necessary guidance</w:t>
      </w:r>
      <w:r>
        <w:t xml:space="preserve"> </w:t>
      </w:r>
      <w:r>
        <w:t>enabling identification, elimination or management of conflict of interest situations and shall review the compliance of this circular periodically</w:t>
      </w:r>
    </w:p>
    <w:p w:rsidR="00FB3090" w:rsidRPr="002C1FEF" w:rsidRDefault="00FB3090" w:rsidP="00FB3090">
      <w:pPr>
        <w:shd w:val="clear" w:color="auto" w:fill="FFFFFF"/>
        <w:spacing w:before="100" w:beforeAutospacing="1" w:after="100" w:afterAutospacing="1" w:line="240" w:lineRule="auto"/>
        <w:rPr>
          <w:rFonts w:ascii="Arial" w:eastAsia="Times New Roman" w:hAnsi="Arial" w:cs="Arial"/>
          <w:color w:val="4A4A4A"/>
          <w:sz w:val="25"/>
          <w:szCs w:val="25"/>
          <w:lang w:eastAsia="en-IN"/>
        </w:rPr>
      </w:pPr>
    </w:p>
    <w:p w:rsidR="002C1FEF" w:rsidRPr="00FB3090" w:rsidRDefault="002C1FEF" w:rsidP="002C1FEF">
      <w:pPr>
        <w:numPr>
          <w:ilvl w:val="0"/>
          <w:numId w:val="1"/>
        </w:numPr>
        <w:shd w:val="clear" w:color="auto" w:fill="FFFFFF"/>
        <w:spacing w:before="100" w:beforeAutospacing="1" w:after="100" w:afterAutospacing="1" w:line="240" w:lineRule="auto"/>
        <w:ind w:left="0"/>
        <w:rPr>
          <w:rFonts w:ascii="Arial" w:eastAsia="Times New Roman" w:hAnsi="Arial" w:cs="Arial"/>
          <w:color w:val="4A4A4A"/>
          <w:sz w:val="25"/>
          <w:szCs w:val="25"/>
          <w:lang w:eastAsia="en-IN"/>
        </w:rPr>
      </w:pPr>
      <w:r w:rsidRPr="002C1FEF">
        <w:rPr>
          <w:rFonts w:ascii="Arial" w:eastAsia="Times New Roman" w:hAnsi="Arial" w:cs="Arial"/>
          <w:caps/>
          <w:color w:val="012C6D"/>
          <w:sz w:val="25"/>
          <w:szCs w:val="25"/>
          <w:lang w:eastAsia="en-IN"/>
        </w:rPr>
        <w:t>Policy on Outsource of activities</w:t>
      </w:r>
    </w:p>
    <w:p w:rsidR="00FB3090" w:rsidRDefault="00FB3090" w:rsidP="00FB3090">
      <w:pPr>
        <w:shd w:val="clear" w:color="auto" w:fill="FFFFFF"/>
        <w:spacing w:before="100" w:beforeAutospacing="1" w:after="100" w:afterAutospacing="1" w:line="240" w:lineRule="auto"/>
        <w:jc w:val="both"/>
      </w:pPr>
      <w:r>
        <w:t xml:space="preserve">A third party may be used to perform one or more activities or one or more third parties may be used to perform different activities of the Company. Such use may be for a specific purpose, specified period or on a continuing basis and includes use of successive third parties, where the first third party may use the second third party to perform the activities and so on. Since the third parties may not be subject to the regulatory discipline and accountability cannot be outsourced, outsourcing raises a variety of concerns both for the regulator and the outsourcing intermediaries. The Company has framed a Policy for the same, Outsourcing relationships shall be governed by written contracts / agreements that clearly describe all material aspects of the outsourcing arrangement, including the rights, responsibilities and expectations of the parties to the contract, client confidentiality issues, termination procedures, etc. Third parties should establish and maintain contingency plans, including a plan for disaster recovery and periodic testing of backup facilities. They should take appropriate </w:t>
      </w:r>
      <w:r>
        <w:lastRenderedPageBreak/>
        <w:t>steps to ensure that the third party protects confidential information of both the Company and its customers from intentional or inadvertent disclosure to unauthorized persons.</w:t>
      </w:r>
    </w:p>
    <w:p w:rsidR="00FB3090" w:rsidRDefault="00FB3090" w:rsidP="00FB3090">
      <w:pPr>
        <w:shd w:val="clear" w:color="auto" w:fill="FFFFFF"/>
        <w:spacing w:before="100" w:beforeAutospacing="1" w:after="100" w:afterAutospacing="1" w:line="240" w:lineRule="auto"/>
        <w:jc w:val="both"/>
      </w:pPr>
      <w:r>
        <w:t xml:space="preserve"> Activities that can be Outsourced</w:t>
      </w:r>
    </w:p>
    <w:p w:rsidR="00FB3090" w:rsidRDefault="00FB3090" w:rsidP="00FB3090">
      <w:pPr>
        <w:shd w:val="clear" w:color="auto" w:fill="FFFFFF"/>
        <w:spacing w:before="100" w:beforeAutospacing="1" w:after="100" w:afterAutospacing="1" w:line="240" w:lineRule="auto"/>
        <w:jc w:val="both"/>
      </w:pPr>
      <w:r>
        <w:t xml:space="preserve"> • Data entry, opening of trading accounts, scanning and storage of account opening forms </w:t>
      </w:r>
    </w:p>
    <w:p w:rsidR="00FB3090" w:rsidRDefault="00FB3090" w:rsidP="00FB3090">
      <w:pPr>
        <w:shd w:val="clear" w:color="auto" w:fill="FFFFFF"/>
        <w:spacing w:before="100" w:beforeAutospacing="1" w:after="100" w:afterAutospacing="1" w:line="240" w:lineRule="auto"/>
        <w:jc w:val="both"/>
      </w:pPr>
      <w:r>
        <w:t>• Printing and dispatch of welcome kits and dispatch of quarterly transaction statements</w:t>
      </w:r>
    </w:p>
    <w:p w:rsidR="00FB3090" w:rsidRDefault="00FB3090" w:rsidP="00FB3090">
      <w:pPr>
        <w:shd w:val="clear" w:color="auto" w:fill="FFFFFF"/>
        <w:spacing w:before="100" w:beforeAutospacing="1" w:after="100" w:afterAutospacing="1" w:line="240" w:lineRule="auto"/>
        <w:jc w:val="both"/>
      </w:pPr>
      <w:r>
        <w:t xml:space="preserve"> • Dispatch of contract notes</w:t>
      </w:r>
    </w:p>
    <w:p w:rsidR="00FB3090" w:rsidRDefault="00FB3090" w:rsidP="00FB3090">
      <w:pPr>
        <w:shd w:val="clear" w:color="auto" w:fill="FFFFFF"/>
        <w:spacing w:before="100" w:beforeAutospacing="1" w:after="100" w:afterAutospacing="1" w:line="240" w:lineRule="auto"/>
        <w:jc w:val="both"/>
      </w:pPr>
      <w:r>
        <w:t xml:space="preserve"> • Any such non-critical activity which in the view of the Management needs to be outsourced Activities that can’t be outsourced Core and critical activities will not be outsourced. An activity shall not be outsourced if it would impair the supervisory authority’s right to assess, or its ability to supervise the business of the intermediary. </w:t>
      </w:r>
    </w:p>
    <w:p w:rsidR="00FB3090" w:rsidRDefault="00FB3090" w:rsidP="00FB3090">
      <w:pPr>
        <w:shd w:val="clear" w:color="auto" w:fill="FFFFFF"/>
        <w:spacing w:before="100" w:beforeAutospacing="1" w:after="100" w:afterAutospacing="1" w:line="240" w:lineRule="auto"/>
        <w:jc w:val="both"/>
      </w:pPr>
      <w:r>
        <w:t xml:space="preserve">An illustrative list of activities that cannot be outsourced: </w:t>
      </w:r>
    </w:p>
    <w:p w:rsidR="00FB3090" w:rsidRDefault="00FB3090" w:rsidP="00FB3090">
      <w:pPr>
        <w:shd w:val="clear" w:color="auto" w:fill="FFFFFF"/>
        <w:spacing w:before="100" w:beforeAutospacing="1" w:after="100" w:afterAutospacing="1" w:line="240" w:lineRule="auto"/>
        <w:jc w:val="both"/>
      </w:pPr>
      <w:r>
        <w:t xml:space="preserve">• Maintenance and safekeeping of critical data. </w:t>
      </w:r>
    </w:p>
    <w:p w:rsidR="00FB3090" w:rsidRDefault="00FB3090" w:rsidP="00FB3090">
      <w:pPr>
        <w:shd w:val="clear" w:color="auto" w:fill="FFFFFF"/>
        <w:spacing w:before="100" w:beforeAutospacing="1" w:after="100" w:afterAutospacing="1" w:line="240" w:lineRule="auto"/>
        <w:jc w:val="both"/>
      </w:pPr>
      <w:r>
        <w:t>• Execution of settlement and other incidental activities for pay-in/</w:t>
      </w:r>
      <w:r>
        <w:t>pay out</w:t>
      </w:r>
      <w:r>
        <w:t xml:space="preserve"> </w:t>
      </w:r>
    </w:p>
    <w:p w:rsidR="00FB3090" w:rsidRDefault="00FB3090" w:rsidP="00FB3090">
      <w:pPr>
        <w:shd w:val="clear" w:color="auto" w:fill="FFFFFF"/>
        <w:spacing w:before="100" w:beforeAutospacing="1" w:after="100" w:afterAutospacing="1" w:line="240" w:lineRule="auto"/>
        <w:jc w:val="both"/>
      </w:pPr>
      <w:r>
        <w:t>• Monitoring and redressal of investor grievances.</w:t>
      </w:r>
    </w:p>
    <w:p w:rsidR="00FB3090" w:rsidRDefault="00FB3090" w:rsidP="00FB3090">
      <w:pPr>
        <w:shd w:val="clear" w:color="auto" w:fill="FFFFFF"/>
        <w:spacing w:before="100" w:beforeAutospacing="1" w:after="100" w:afterAutospacing="1" w:line="240" w:lineRule="auto"/>
        <w:jc w:val="both"/>
      </w:pPr>
      <w:r>
        <w:t xml:space="preserve"> • Surveillance Functions. </w:t>
      </w:r>
    </w:p>
    <w:p w:rsidR="00FB3090" w:rsidRDefault="00FB3090" w:rsidP="00FB3090">
      <w:pPr>
        <w:shd w:val="clear" w:color="auto" w:fill="FFFFFF"/>
        <w:spacing w:before="100" w:beforeAutospacing="1" w:after="100" w:afterAutospacing="1" w:line="240" w:lineRule="auto"/>
        <w:jc w:val="both"/>
      </w:pPr>
      <w:r>
        <w:t xml:space="preserve">• Compliance Functions. </w:t>
      </w:r>
    </w:p>
    <w:p w:rsidR="00A87483" w:rsidRDefault="00FB3090" w:rsidP="00FB3090">
      <w:pPr>
        <w:shd w:val="clear" w:color="auto" w:fill="FFFFFF"/>
        <w:spacing w:before="100" w:beforeAutospacing="1" w:after="100" w:afterAutospacing="1" w:line="240" w:lineRule="auto"/>
        <w:jc w:val="both"/>
      </w:pPr>
      <w:r>
        <w:t xml:space="preserve">Due Diligence </w:t>
      </w:r>
      <w:r w:rsidR="00A87483">
        <w:t>the</w:t>
      </w:r>
      <w:r>
        <w:t xml:space="preserve"> Company shall conduct appropriate due diligence in selecting the third party to whom any activity is proposed to be outsourced. It shall be ensured that outsourced activities are further outsourced downstream only with the prior consent and with appropriate safeguards including proper legal documentation/ agreement. </w:t>
      </w:r>
    </w:p>
    <w:p w:rsidR="00A87483" w:rsidRDefault="00FB3090" w:rsidP="00FB3090">
      <w:pPr>
        <w:shd w:val="clear" w:color="auto" w:fill="FFFFFF"/>
        <w:spacing w:before="100" w:beforeAutospacing="1" w:after="100" w:afterAutospacing="1" w:line="240" w:lineRule="auto"/>
        <w:jc w:val="both"/>
      </w:pPr>
      <w:r>
        <w:t xml:space="preserve">Monitoring </w:t>
      </w:r>
      <w:r w:rsidR="00A87483">
        <w:t>an</w:t>
      </w:r>
      <w:r>
        <w:t xml:space="preserve"> effective monitoring of the entities selected for outsourcing shall be done to ensure that there is check on the activities of outsourced entity. The Company shall be fully liable and accountable for the activities that are being outsourced to the same extent as if the service were provided in-house. </w:t>
      </w:r>
    </w:p>
    <w:p w:rsidR="00FB3090" w:rsidRPr="00FB3090" w:rsidRDefault="00FB3090" w:rsidP="00FB3090">
      <w:pPr>
        <w:shd w:val="clear" w:color="auto" w:fill="FFFFFF"/>
        <w:spacing w:before="100" w:beforeAutospacing="1" w:after="100" w:afterAutospacing="1" w:line="240" w:lineRule="auto"/>
        <w:jc w:val="both"/>
        <w:rPr>
          <w:rFonts w:ascii="Arial" w:eastAsia="Times New Roman" w:hAnsi="Arial" w:cs="Arial"/>
          <w:color w:val="4A4A4A"/>
          <w:sz w:val="25"/>
          <w:szCs w:val="25"/>
          <w:lang w:eastAsia="en-IN"/>
        </w:rPr>
      </w:pPr>
      <w:r>
        <w:t>Approval/Review This policy shall be approved by the Board and reviewed by the Managing Director as and when there are any changes introduced by any statutory authority or as and when it is found necessary to change the policy due to</w:t>
      </w:r>
      <w:r>
        <w:t xml:space="preserve"> </w:t>
      </w:r>
      <w:r>
        <w:t>business needs</w:t>
      </w:r>
      <w:r>
        <w:t>.</w:t>
      </w:r>
    </w:p>
    <w:p w:rsidR="002C1FEF" w:rsidRPr="00A87483" w:rsidRDefault="002C1FEF" w:rsidP="002C1FEF">
      <w:pPr>
        <w:numPr>
          <w:ilvl w:val="0"/>
          <w:numId w:val="1"/>
        </w:numPr>
        <w:shd w:val="clear" w:color="auto" w:fill="FFFFFF"/>
        <w:spacing w:before="100" w:beforeAutospacing="1" w:after="100" w:afterAutospacing="1" w:line="240" w:lineRule="auto"/>
        <w:ind w:left="0"/>
        <w:rPr>
          <w:rFonts w:ascii="Arial" w:eastAsia="Times New Roman" w:hAnsi="Arial" w:cs="Arial"/>
          <w:color w:val="4A4A4A"/>
          <w:sz w:val="25"/>
          <w:szCs w:val="25"/>
          <w:lang w:eastAsia="en-IN"/>
        </w:rPr>
      </w:pPr>
      <w:r w:rsidRPr="002C1FEF">
        <w:rPr>
          <w:rFonts w:ascii="Arial" w:eastAsia="Times New Roman" w:hAnsi="Arial" w:cs="Arial"/>
          <w:caps/>
          <w:color w:val="012C6D"/>
          <w:sz w:val="25"/>
          <w:szCs w:val="25"/>
          <w:lang w:eastAsia="en-IN"/>
        </w:rPr>
        <w:t>Policy on Pre funded Instruments</w:t>
      </w:r>
    </w:p>
    <w:p w:rsidR="00A87483" w:rsidRDefault="00A87483" w:rsidP="00A87483">
      <w:pPr>
        <w:shd w:val="clear" w:color="auto" w:fill="FFFFFF"/>
        <w:spacing w:before="100" w:beforeAutospacing="1" w:after="100" w:afterAutospacing="1" w:line="240" w:lineRule="auto"/>
        <w:jc w:val="both"/>
      </w:pPr>
      <w:r>
        <w:t>It is a Master Policy of the Company for acceptance of Pre-</w:t>
      </w:r>
      <w:r>
        <w:t>Funded</w:t>
      </w:r>
      <w:r>
        <w:t xml:space="preserve"> Instruments. This policy is subject to the rules and regulations of SEBI and Exchanges from time to time. The objective of the policy is to prevent acceptance of third party funds for settlement of dues receivable from Clients and to prescribe processes to deal with instruments issued by any third party as and when received by the Company towards Client dues. As part of our internal control policy, the Company is strictly restricting acceptance of Demand Drafts/Pay Orders/Banker’s Cheques or any other third party instrument for receipt of funds from Clients to avoid third party pay-in to Client accounts. In exceptional cases of </w:t>
      </w:r>
      <w:r>
        <w:lastRenderedPageBreak/>
        <w:t xml:space="preserve">payments by Demand Drafts/Pay Order/Banker’s Cheque, self-declaration from the Client alone s is not sufficient. Such funds from the Clients through pre-funded instruments mentioned above shall be accepted only after the following conditions as per SEBI circular no. CIR/MIRSD/03/2011 dated 9th June 2011 &amp; BSE notice no. 20110610-6 dated 10th June 2011 have been complied within: The mode of certification shall be as follows: </w:t>
      </w:r>
    </w:p>
    <w:p w:rsidR="00A87483" w:rsidRDefault="00A87483" w:rsidP="00A87483">
      <w:pPr>
        <w:pStyle w:val="ListParagraph"/>
        <w:numPr>
          <w:ilvl w:val="1"/>
          <w:numId w:val="1"/>
        </w:numPr>
        <w:shd w:val="clear" w:color="auto" w:fill="FFFFFF"/>
        <w:spacing w:before="100" w:beforeAutospacing="1" w:after="100" w:afterAutospacing="1" w:line="240" w:lineRule="auto"/>
        <w:jc w:val="both"/>
      </w:pPr>
      <w:r>
        <w:t>Certificate from the issuing bank on its letter head or on a plain paper with the seal of the issuing bank.</w:t>
      </w:r>
    </w:p>
    <w:p w:rsidR="00A87483" w:rsidRPr="00A87483" w:rsidRDefault="00A87483" w:rsidP="00A87483">
      <w:pPr>
        <w:pStyle w:val="ListParagraph"/>
        <w:numPr>
          <w:ilvl w:val="1"/>
          <w:numId w:val="1"/>
        </w:numPr>
        <w:shd w:val="clear" w:color="auto" w:fill="FFFFFF"/>
        <w:spacing w:before="100" w:beforeAutospacing="1" w:after="100" w:afterAutospacing="1" w:line="240" w:lineRule="auto"/>
        <w:jc w:val="both"/>
        <w:rPr>
          <w:rFonts w:ascii="Arial" w:eastAsia="Times New Roman" w:hAnsi="Arial" w:cs="Arial"/>
          <w:color w:val="4A4A4A"/>
          <w:sz w:val="25"/>
          <w:szCs w:val="25"/>
          <w:lang w:eastAsia="en-IN"/>
        </w:rPr>
      </w:pPr>
      <w:r>
        <w:t xml:space="preserve"> </w:t>
      </w:r>
      <w:r>
        <w:t xml:space="preserve"> Certified copy of the requisition slip (portion which is retained by the bank) to issue the instrument.</w:t>
      </w:r>
    </w:p>
    <w:p w:rsidR="00A87483" w:rsidRPr="00A87483" w:rsidRDefault="00A87483" w:rsidP="00A87483">
      <w:pPr>
        <w:pStyle w:val="ListParagraph"/>
        <w:numPr>
          <w:ilvl w:val="1"/>
          <w:numId w:val="1"/>
        </w:numPr>
        <w:shd w:val="clear" w:color="auto" w:fill="FFFFFF"/>
        <w:spacing w:before="100" w:beforeAutospacing="1" w:after="100" w:afterAutospacing="1" w:line="240" w:lineRule="auto"/>
        <w:jc w:val="both"/>
        <w:rPr>
          <w:rFonts w:ascii="Arial" w:eastAsia="Times New Roman" w:hAnsi="Arial" w:cs="Arial"/>
          <w:color w:val="4A4A4A"/>
          <w:sz w:val="25"/>
          <w:szCs w:val="25"/>
          <w:lang w:eastAsia="en-IN"/>
        </w:rPr>
      </w:pPr>
      <w:r>
        <w:t xml:space="preserve"> </w:t>
      </w:r>
      <w:r>
        <w:t xml:space="preserve"> Certified copy of the passbook/bank statement for the account debited to issue the instrument. </w:t>
      </w:r>
    </w:p>
    <w:p w:rsidR="00A87483" w:rsidRPr="00A87483" w:rsidRDefault="00A87483" w:rsidP="00A87483">
      <w:pPr>
        <w:pStyle w:val="ListParagraph"/>
        <w:numPr>
          <w:ilvl w:val="1"/>
          <w:numId w:val="1"/>
        </w:numPr>
        <w:shd w:val="clear" w:color="auto" w:fill="FFFFFF"/>
        <w:spacing w:before="100" w:beforeAutospacing="1" w:after="100" w:afterAutospacing="1" w:line="240" w:lineRule="auto"/>
        <w:jc w:val="both"/>
        <w:rPr>
          <w:rFonts w:ascii="Arial" w:eastAsia="Times New Roman" w:hAnsi="Arial" w:cs="Arial"/>
          <w:color w:val="4A4A4A"/>
          <w:sz w:val="25"/>
          <w:szCs w:val="25"/>
          <w:lang w:eastAsia="en-IN"/>
        </w:rPr>
      </w:pPr>
      <w:r>
        <w:t xml:space="preserve"> Authentication of the bank account debited with account number and name of the account holder by the issuing bank on the reverse of the instrument.</w:t>
      </w:r>
    </w:p>
    <w:p w:rsidR="00A87483" w:rsidRDefault="00A87483" w:rsidP="00A87483">
      <w:pPr>
        <w:pStyle w:val="ListParagraph"/>
        <w:shd w:val="clear" w:color="auto" w:fill="FFFFFF"/>
        <w:spacing w:before="100" w:beforeAutospacing="1" w:after="100" w:afterAutospacing="1" w:line="240" w:lineRule="auto"/>
        <w:ind w:left="1800"/>
        <w:jc w:val="both"/>
      </w:pPr>
    </w:p>
    <w:p w:rsidR="00A87483" w:rsidRPr="00A87483" w:rsidRDefault="00A87483" w:rsidP="00A87483">
      <w:pPr>
        <w:pStyle w:val="ListParagraph"/>
        <w:shd w:val="clear" w:color="auto" w:fill="FFFFFF"/>
        <w:spacing w:before="100" w:beforeAutospacing="1" w:after="100" w:afterAutospacing="1" w:line="240" w:lineRule="auto"/>
        <w:ind w:left="1800"/>
        <w:jc w:val="both"/>
        <w:rPr>
          <w:rFonts w:ascii="Arial" w:eastAsia="Times New Roman" w:hAnsi="Arial" w:cs="Arial"/>
          <w:color w:val="4A4A4A"/>
          <w:sz w:val="25"/>
          <w:szCs w:val="25"/>
          <w:lang w:eastAsia="en-IN"/>
        </w:rPr>
      </w:pPr>
      <w:r>
        <w:t xml:space="preserve"> Only the Managing Director or any other Director of the Company can give approval for acceptance Prefunded Instruments and only then credit should be given</w:t>
      </w:r>
      <w:r>
        <w:t>.</w:t>
      </w:r>
    </w:p>
    <w:p w:rsidR="000F7026" w:rsidRDefault="000F7026"/>
    <w:sectPr w:rsidR="000F70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4A15C2"/>
    <w:multiLevelType w:val="multilevel"/>
    <w:tmpl w:val="F7D8CDEC"/>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FEF"/>
    <w:rsid w:val="000F7026"/>
    <w:rsid w:val="002C1FEF"/>
    <w:rsid w:val="0035591D"/>
    <w:rsid w:val="00A87483"/>
    <w:rsid w:val="00FB309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8D400"/>
  <w15:chartTrackingRefBased/>
  <w15:docId w15:val="{BF511700-339A-4FFA-B15C-3B015FA62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lementor-icon-list-text">
    <w:name w:val="elementor-icon-list-text"/>
    <w:basedOn w:val="DefaultParagraphFont"/>
    <w:rsid w:val="002C1FEF"/>
  </w:style>
  <w:style w:type="paragraph" w:styleId="ListParagraph">
    <w:name w:val="List Paragraph"/>
    <w:basedOn w:val="Normal"/>
    <w:uiPriority w:val="34"/>
    <w:qFormat/>
    <w:rsid w:val="00A874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1725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ortheastltd.com/wp-content/uploads/2023/07/Policy-on-Squaring-off-client-positions-in-case-of-non-payment.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7</Pages>
  <Words>3211</Words>
  <Characters>18308</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RaviKumar vishnubhotla</dc:creator>
  <cp:keywords/>
  <dc:description/>
  <cp:lastModifiedBy>RaviKumar vishnubhotla</cp:lastModifiedBy>
  <cp:revision>1</cp:revision>
  <dcterms:created xsi:type="dcterms:W3CDTF">2025-01-17T09:27:00Z</dcterms:created>
  <dcterms:modified xsi:type="dcterms:W3CDTF">2025-01-17T10:03:00Z</dcterms:modified>
</cp:coreProperties>
</file>